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0" w:rsidRPr="000C4A48" w:rsidRDefault="00117A6B">
      <w:pPr>
        <w:pStyle w:val="Heading"/>
        <w:rPr>
          <w:rFonts w:ascii="Helvetica" w:hAnsi="Helvetica"/>
        </w:rPr>
      </w:pPr>
      <w:r w:rsidRPr="000C4A48">
        <w:rPr>
          <w:rFonts w:ascii="Helvetica" w:hAnsi="Helvetica"/>
        </w:rPr>
        <w:t>Strategy guide</w:t>
      </w:r>
      <w:r w:rsidR="00AC67D9">
        <w:rPr>
          <w:rFonts w:ascii="Helvetica" w:hAnsi="Helvetica"/>
        </w:rPr>
        <w:t xml:space="preserve">: </w:t>
      </w:r>
      <w:r w:rsidR="00AC67D9" w:rsidRPr="00AC67D9">
        <w:rPr>
          <w:rFonts w:ascii="Helvetica" w:hAnsi="Helvetica"/>
          <w:i/>
        </w:rPr>
        <w:t>Integration techniques</w:t>
      </w:r>
      <w:r w:rsidRPr="000C4A48">
        <w:rPr>
          <w:rFonts w:ascii="Helvetica" w:hAnsi="Helvetica"/>
        </w:rPr>
        <w:t xml:space="preserve"> </w:t>
      </w:r>
    </w:p>
    <w:tbl>
      <w:tblPr>
        <w:tblW w:w="929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CC27A0" w:rsidRPr="000C4A48" w:rsidTr="00AD6A7F">
        <w:trPr>
          <w:trHeight w:val="302"/>
          <w:tblHeader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Technique</w:t>
            </w:r>
            <w:bookmarkStart w:id="0" w:name="_GoBack"/>
            <w:bookmarkEnd w:id="0"/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Basic idea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When to try it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Reason for using it</w:t>
            </w:r>
          </w:p>
        </w:tc>
      </w:tr>
      <w:tr w:rsidR="00CC27A0" w:rsidRPr="000C4A48" w:rsidTr="00AC67D9">
        <w:tblPrEx>
          <w:shd w:val="clear" w:color="auto" w:fill="auto"/>
        </w:tblPrEx>
        <w:trPr>
          <w:trHeight w:val="2033"/>
        </w:trPr>
        <w:tc>
          <w:tcPr>
            <w:tcW w:w="2323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594646" w:rsidRDefault="00594646">
            <w:pPr>
              <w:rPr>
                <w:rFonts w:ascii="Helvetica" w:hAnsi="Helvetica"/>
                <w:i/>
              </w:rPr>
            </w:pPr>
            <w:r w:rsidRPr="00594646">
              <w:rPr>
                <w:rFonts w:ascii="Helvetica" w:hAnsi="Helvetica"/>
                <w:i/>
              </w:rPr>
              <w:t xml:space="preserve">Overall strategy </w:t>
            </w:r>
          </w:p>
        </w:tc>
        <w:tc>
          <w:tcPr>
            <w:tcW w:w="2323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594646" w:rsidRDefault="00594646" w:rsidP="00641953">
            <w:pPr>
              <w:rPr>
                <w:rFonts w:ascii="Helvetica" w:hAnsi="Helvetica"/>
                <w:i/>
              </w:rPr>
            </w:pPr>
            <w:r w:rsidRPr="00594646">
              <w:rPr>
                <w:rFonts w:ascii="Helvetica" w:hAnsi="Helvetica"/>
                <w:i/>
              </w:rPr>
              <w:t>Rewrite the function in a new form, then integrate the new form.</w:t>
            </w:r>
          </w:p>
        </w:tc>
        <w:tc>
          <w:tcPr>
            <w:tcW w:w="2323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594646" w:rsidRDefault="00594646" w:rsidP="00594646">
            <w:pPr>
              <w:rPr>
                <w:rFonts w:ascii="Helvetica" w:hAnsi="Helvetica"/>
                <w:i/>
              </w:rPr>
            </w:pPr>
            <w:r w:rsidRPr="00594646">
              <w:rPr>
                <w:rFonts w:ascii="Helvetica" w:hAnsi="Helvetica"/>
                <w:i/>
              </w:rPr>
              <w:t>When you can't do the integral "directly" (i.e. it's not in your table of integrals).</w:t>
            </w:r>
          </w:p>
        </w:tc>
        <w:tc>
          <w:tcPr>
            <w:tcW w:w="2323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594646" w:rsidRDefault="00594646" w:rsidP="00594646">
            <w:pPr>
              <w:rPr>
                <w:rFonts w:ascii="Helvetica" w:hAnsi="Helvetica"/>
                <w:i/>
              </w:rPr>
            </w:pPr>
            <w:r w:rsidRPr="00594646">
              <w:rPr>
                <w:rFonts w:ascii="Helvetica" w:hAnsi="Helvetica"/>
                <w:i/>
              </w:rPr>
              <w:t xml:space="preserve">Transforming the function into something you </w:t>
            </w:r>
            <w:r w:rsidRPr="00594646">
              <w:rPr>
                <w:rFonts w:ascii="Helvetica" w:hAnsi="Helvetica"/>
                <w:i/>
                <w:u w:val="single"/>
              </w:rPr>
              <w:t>can</w:t>
            </w:r>
            <w:r w:rsidRPr="00594646">
              <w:rPr>
                <w:rFonts w:ascii="Helvetica" w:hAnsi="Helvetica"/>
                <w:i/>
              </w:rPr>
              <w:t xml:space="preserve"> integrate.</w:t>
            </w:r>
          </w:p>
        </w:tc>
      </w:tr>
      <w:tr w:rsidR="00594646" w:rsidRPr="000C4A48" w:rsidTr="00AC67D9">
        <w:tblPrEx>
          <w:shd w:val="clear" w:color="auto" w:fill="auto"/>
        </w:tblPrEx>
        <w:trPr>
          <w:trHeight w:val="2033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Substitution Rule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641953" w:rsidRDefault="00594646" w:rsidP="0077081D">
            <w:pPr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</w:rPr>
              <w:t>Find the "inside" and the "derivative of the inside".  Substitute: "</w:t>
            </w:r>
            <w:r w:rsidRPr="00641953">
              <w:rPr>
                <w:rFonts w:ascii="Helvetica" w:hAnsi="Helvetica"/>
                <w:i/>
              </w:rPr>
              <w:t>inside</w:t>
            </w:r>
            <w:r>
              <w:rPr>
                <w:rFonts w:ascii="Helvetica" w:hAnsi="Helvetica"/>
              </w:rPr>
              <w:t>"</w:t>
            </w:r>
            <w:r>
              <w:t> </w:t>
            </w:r>
            <w:r>
              <w:rPr>
                <w:rFonts w:ascii="Helvetica" w:hAnsi="Helvetica"/>
              </w:rPr>
              <w:t>=</w:t>
            </w:r>
            <w:r>
              <w:t> </w:t>
            </w:r>
            <w:r>
              <w:rPr>
                <w:rFonts w:ascii="Helvetica" w:hAnsi="Helvetica"/>
                <w:i/>
              </w:rPr>
              <w:t>u</w:t>
            </w:r>
            <w:r>
              <w:rPr>
                <w:rFonts w:ascii="Helvetica" w:hAnsi="Helvetica"/>
              </w:rPr>
              <w:t xml:space="preserve"> and </w:t>
            </w:r>
            <w:r>
              <w:rPr>
                <w:rFonts w:ascii="Helvetica" w:hAnsi="Helvetica"/>
                <w:i/>
              </w:rPr>
              <w:t>u' dx = </w:t>
            </w:r>
            <w:r w:rsidRPr="00641953">
              <w:rPr>
                <w:rFonts w:ascii="Helvetica" w:hAnsi="Helvetica"/>
                <w:i/>
              </w:rPr>
              <w:t>du</w:t>
            </w:r>
            <w:r w:rsidRPr="00641953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.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When the function has an "inside" and its derivative.  e.g. If the inside is sin(x) there's also a cos(x) in the problem.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It's the reverse of the chain rule ("derivative of the outside times derivative of the inside").</w:t>
            </w:r>
          </w:p>
        </w:tc>
      </w:tr>
      <w:tr w:rsidR="00594646" w:rsidRPr="000C4A48" w:rsidTr="00AC67D9">
        <w:tblPrEx>
          <w:shd w:val="clear" w:color="auto" w:fill="auto"/>
        </w:tblPrEx>
        <w:trPr>
          <w:trHeight w:val="2033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Integration by Parts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</w:tr>
      <w:tr w:rsidR="00594646" w:rsidRPr="000C4A48" w:rsidTr="00AC67D9">
        <w:tblPrEx>
          <w:shd w:val="clear" w:color="auto" w:fill="auto"/>
        </w:tblPrEx>
        <w:trPr>
          <w:trHeight w:val="2033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Partial Fractions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</w:tr>
      <w:tr w:rsidR="00594646" w:rsidRPr="000C4A48" w:rsidTr="00AC67D9">
        <w:tblPrEx>
          <w:shd w:val="clear" w:color="auto" w:fill="auto"/>
        </w:tblPrEx>
        <w:trPr>
          <w:trHeight w:val="2033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Trigonometric Substitution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646" w:rsidRPr="000C4A48" w:rsidRDefault="00594646" w:rsidP="0077081D">
            <w:pPr>
              <w:rPr>
                <w:rFonts w:ascii="Helvetica" w:hAnsi="Helvetica"/>
              </w:rPr>
            </w:pPr>
          </w:p>
        </w:tc>
      </w:tr>
    </w:tbl>
    <w:p w:rsidR="00CC27A0" w:rsidRPr="000C4A48" w:rsidRDefault="00CC27A0">
      <w:pPr>
        <w:pStyle w:val="Body"/>
        <w:rPr>
          <w:rFonts w:ascii="Helvetica" w:hAnsi="Helvetica"/>
        </w:rPr>
      </w:pPr>
    </w:p>
    <w:sectPr w:rsidR="00CC27A0" w:rsidRPr="000C4A4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59" w:rsidRDefault="00302A59">
      <w:r>
        <w:separator/>
      </w:r>
    </w:p>
  </w:endnote>
  <w:endnote w:type="continuationSeparator" w:id="0">
    <w:p w:rsidR="00302A59" w:rsidRDefault="003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A0" w:rsidRDefault="00CC2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59" w:rsidRDefault="00302A59">
      <w:r>
        <w:separator/>
      </w:r>
    </w:p>
  </w:footnote>
  <w:footnote w:type="continuationSeparator" w:id="0">
    <w:p w:rsidR="00302A59" w:rsidRDefault="0030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A0" w:rsidRDefault="00CC27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27A0"/>
    <w:rsid w:val="000C4A48"/>
    <w:rsid w:val="00117A6B"/>
    <w:rsid w:val="002D4746"/>
    <w:rsid w:val="00302A59"/>
    <w:rsid w:val="00594646"/>
    <w:rsid w:val="00641953"/>
    <w:rsid w:val="00AC67D9"/>
    <w:rsid w:val="00AD6A7F"/>
    <w:rsid w:val="00B67C50"/>
    <w:rsid w:val="00CC27A0"/>
    <w:rsid w:val="00D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MacDonald</dc:creator>
  <cp:lastModifiedBy>Robert MacDonald</cp:lastModifiedBy>
  <cp:revision>6</cp:revision>
  <dcterms:created xsi:type="dcterms:W3CDTF">2018-03-02T20:25:00Z</dcterms:created>
  <dcterms:modified xsi:type="dcterms:W3CDTF">2018-03-02T23:09:00Z</dcterms:modified>
</cp:coreProperties>
</file>